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542" w:h="649" w:x="719" w:y="4582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Produsul de mai sus se poate utiliza pentru diluarea produselor alchidice din seriile 431, 4010 si 5012. Poate fi utilizat atat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542" w:h="649" w:x="719" w:y="4582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pentru vopselele ce urmeaza a fi aplicate cu pistolul, pentru cele aplicate cu pensula si pentru curatarea echipamentelor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542" w:h="649" w:x="719" w:y="4582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utilizate la vopsire.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84" w:h="162" w:x="9796" w:y="16050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4"/>
          <w:szCs w:val="14"/>
        </w:rPr>
        <w:t xml:space="preserve">pag </w:t>
      </w:r>
      <w:r>
        <w:rPr>
          <w:rFonts w:cs="Times New Roman" w:ascii="Times New Roman" w:hAnsi="Times New Roman"/>
          <w:color w:val="000000"/>
          <w:sz w:val="14"/>
          <w:szCs w:val="14"/>
        </w:rPr>
        <w:t xml:space="preserve">1 </w:t>
      </w:r>
      <w:r>
        <w:rPr>
          <w:rFonts w:cs="Times New Roman Italic" w:ascii="Times New Roman Italic" w:hAnsi="Times New Roman Italic"/>
          <w:color w:val="000000"/>
          <w:sz w:val="14"/>
          <w:szCs w:val="14"/>
        </w:rPr>
        <w:t>/ 1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281" w:h="161" w:x="4929" w:y="16050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4"/>
          <w:szCs w:val="14"/>
        </w:rPr>
        <w:t xml:space="preserve">Fisa Tehnica: </w:t>
      </w:r>
      <w:r>
        <w:rPr>
          <w:rFonts w:cs="Times New Roman Bold Italic" w:ascii="Times New Roman Bold Italic" w:hAnsi="Times New Roman Bold Italic"/>
          <w:color w:val="000000"/>
          <w:sz w:val="14"/>
          <w:szCs w:val="14"/>
        </w:rPr>
        <w:t>Diluant  D012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42" w:h="161" w:x="827" w:y="16050" w:wrap="none" w:vAnchor="margin" w:hAnchor="margin" w:hRule="exact"/>
      </w:pPr>
      <w:r>
        <w:rPr>
          <w:rFonts w:cs="Times New Roman" w:ascii="Times New Roman" w:hAnsi="Times New Roman"/>
          <w:color w:val="000000"/>
          <w:sz w:val="14"/>
          <w:szCs w:val="14"/>
        </w:rPr>
        <w:t>Cod produs: D 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78" w:h="240" w:x="539" w:y="14574" w:wrap="none" w:vAnchor="margin" w:hAnchor="margin" w:hRule="exact"/>
      </w:pPr>
      <w:r>
        <w:rPr>
          <w:rFonts w:cs="Arial Black" w:ascii="Arial Black" w:hAnsi="Arial Black"/>
          <w:color w:val="000000"/>
          <w:sz w:val="17"/>
          <w:szCs w:val="17"/>
        </w:rPr>
        <w:t>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9565" w:h="240" w:x="1247" w:y="14319" w:wrap="none" w:vAnchor="margin" w:hAnchor="margin" w:hRule="exact"/>
      </w:pPr>
      <w:r>
        <w:rPr>
          <w:rFonts w:cs="Arial Black" w:ascii="Arial Black" w:hAnsi="Arial Black"/>
          <w:color w:val="000000"/>
          <w:sz w:val="17"/>
          <w:szCs w:val="17"/>
        </w:rPr>
        <w:t>Pentru informații suplimentare va rugam adresați-va Departamentului Tehnic al firmei MIDARCHIM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6"/>
          <w:szCs w:val="16"/>
        </w:rPr>
        <w:t xml:space="preserve">                      </w:t>
      </w:r>
      <w:r>
        <w:rPr>
          <w:rFonts w:cs="Times New Roman Italic" w:ascii="Times New Roman Italic" w:hAnsi="Times New Roman Italic"/>
          <w:color w:val="000000"/>
          <w:sz w:val="16"/>
          <w:szCs w:val="16"/>
        </w:rPr>
        <w:t>Acest produs este destinat utilizarii industriale. Informatiile de mai sus sunt oferite cu buna credinta pentru a obtine cele mai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6"/>
          <w:szCs w:val="16"/>
        </w:rPr>
        <w:t>bune rezultate utilizând produsele firmei MIDARCHIM, si sunt bazate pe incercari de laborator si experienta practica. Este datoria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6"/>
          <w:szCs w:val="16"/>
        </w:rPr>
        <w:t>utilizatorului sa verifice compatibilitatea produsului in cazul particular al utilizarii sale. Orice degradare cauzata prin utilizarea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6"/>
          <w:szCs w:val="16"/>
        </w:rPr>
        <w:t>produsului in afara instructiunilor noastre sau folosirea in alte scopuri a produsului nu este responsabilitatea firmei MIDARCHIM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6"/>
          <w:szCs w:val="16"/>
        </w:rPr>
        <w:t>Informatiile din aceasta fisa tehnica pot fi modificate din timp in timp, ca urmare a imbunatatirii dezvoltarii produsului.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Bold Italic" w:ascii="Times New Roman Bold Italic" w:hAnsi="Times New Roman Bold Italic"/>
          <w:color w:val="000000"/>
          <w:sz w:val="16"/>
          <w:szCs w:val="16"/>
        </w:rPr>
        <w:t xml:space="preserve">Data editării: </w:t>
      </w:r>
      <w:r>
        <w:rPr>
          <w:rFonts w:cs="Times New Roman Italic" w:ascii="Times New Roman Italic" w:hAnsi="Times New Roman Italic"/>
          <w:color w:val="000000"/>
          <w:sz w:val="16"/>
          <w:szCs w:val="16"/>
        </w:rPr>
        <w:t>septembrie 2011. Aceasta editie le inlocuieste pe toate cele anterioare. Este responsabilitatea clientului de a verifica daca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360" w:x="539" w:y="12922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6"/>
          <w:szCs w:val="16"/>
        </w:rPr>
        <w:t>aceasta fisa este cea mai noua editie, pentru acest produs.Datele din aceasta fisa sunt conforme cu datele fisei producatorului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142" w:h="296" w:x="539" w:y="12543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Observatii: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                    </w:t>
      </w:r>
      <w:r>
        <w:rPr>
          <w:rFonts w:cs="Times New Roman" w:ascii="Times New Roman" w:hAnsi="Times New Roman"/>
          <w:color w:val="000000"/>
          <w:sz w:val="18"/>
          <w:szCs w:val="18"/>
        </w:rPr>
        <w:t>Se vor respecta instructiunile de pe ambalaj si din fisa tehnica de securitate a produsului.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                    </w:t>
      </w:r>
      <w:r>
        <w:rPr>
          <w:rFonts w:cs="Times New Roman" w:ascii="Times New Roman" w:hAnsi="Times New Roman"/>
          <w:color w:val="000000"/>
          <w:sz w:val="18"/>
          <w:szCs w:val="18"/>
        </w:rPr>
        <w:t>Se interzice distrugerea produsului, a reziduurilor, precum si a apelor reziduale fara o tratare preliminara, conform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legislatiei in vigoare.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                    </w:t>
      </w:r>
      <w:r>
        <w:rPr>
          <w:rFonts w:cs="Times New Roman Bold" w:ascii="Times New Roman Bold" w:hAnsi="Times New Roman Bold"/>
          <w:color w:val="000000"/>
          <w:sz w:val="18"/>
          <w:szCs w:val="18"/>
        </w:rPr>
        <w:t xml:space="preserve">ATENTIE! CONTINE SOLVENTI INFLAMABILI. </w:t>
      </w:r>
      <w:r>
        <w:rPr>
          <w:rFonts w:cs="Times New Roman" w:ascii="Times New Roman" w:hAnsi="Times New Roman"/>
          <w:color w:val="000000"/>
          <w:sz w:val="18"/>
          <w:szCs w:val="18"/>
        </w:rPr>
        <w:t>Se interzice prezenta surselor de foc deschis. Este necesara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 CE" w:ascii="Times New Roman CE" w:hAnsi="Times New Roman CE"/>
          <w:color w:val="000000"/>
          <w:sz w:val="18"/>
          <w:szCs w:val="18"/>
        </w:rPr>
        <w:t>asigurarea unei ventilări adecvate cu aer proaspăt, atât pe perioada aplicării produsului cat si pe perioada uscării acestuia. In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 CE" w:ascii="Times New Roman CE" w:hAnsi="Times New Roman CE"/>
          <w:color w:val="000000"/>
          <w:sz w:val="18"/>
          <w:szCs w:val="18"/>
        </w:rPr>
        <w:t>încăperi neaerisite personalul trebuie sa poarte mă</w:t>
      </w:r>
      <w:r>
        <w:rPr>
          <w:rFonts w:cs="Times New Roman" w:ascii="Times New Roman" w:hAnsi="Times New Roman"/>
          <w:color w:val="000000"/>
          <w:sz w:val="18"/>
          <w:szCs w:val="18"/>
        </w:rPr>
        <w:t>ști cu aducțiune a aerului.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                    </w:t>
      </w:r>
      <w:r>
        <w:rPr>
          <w:rFonts w:cs="Times New Roman Italic" w:ascii="Times New Roman Italic" w:hAnsi="Times New Roman Italic"/>
          <w:color w:val="000000"/>
          <w:sz w:val="18"/>
          <w:szCs w:val="18"/>
        </w:rPr>
        <w:t>Termen de valabilitate: 24 luni de la data fabricatiei, in ambalajul original inchis etans, cu respectarea conditiilor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6" w:h="1756" w:x="539" w:y="10494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de depozitare si pastrare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98" w:h="296" w:x="539" w:y="1011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Masuri privind protectia muncii, prevenirea incendiilor si protectia mediului: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34" w:h="672" w:x="539" w:y="919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A se depozita/transporta in spatii inchise, bine ventilate, ferite de inghet si radiatii solare, in ambalajul original inchis.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34" w:h="672" w:x="539" w:y="919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Temperatura de depozitare/transport: 5 – 45</w:t>
      </w:r>
      <w:r>
        <w:rPr>
          <w:rFonts w:cs="Times New Roman" w:ascii="Times New Roman" w:hAnsi="Times New Roman"/>
          <w:color w:val="000000"/>
          <w:sz w:val="12"/>
          <w:szCs w:val="12"/>
        </w:rPr>
        <w:t>0</w:t>
      </w:r>
      <w:r>
        <w:rPr>
          <w:rFonts w:cs="Times New Roman" w:ascii="Times New Roman" w:hAnsi="Times New Roman"/>
          <w:color w:val="000000"/>
          <w:sz w:val="18"/>
          <w:szCs w:val="18"/>
        </w:rPr>
        <w:t>C, umiditate: 0 – 100%.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34" w:h="672" w:x="539" w:y="919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          </w:t>
      </w:r>
      <w:r>
        <w:rPr>
          <w:rFonts w:cs="Times New Roman Italic" w:ascii="Times New Roman Italic" w:hAnsi="Times New Roman Italic"/>
          <w:color w:val="000000"/>
          <w:sz w:val="18"/>
          <w:szCs w:val="18"/>
        </w:rPr>
        <w:t>Verificati datele din fisa tehnica de securitate a produsului</w:t>
      </w:r>
      <w:r>
        <w:rPr>
          <w:rFonts w:cs="Times New Roman Italic" w:ascii="Times New Roman Italic" w:hAnsi="Times New Roman Italic"/>
          <w:color w:val="000000"/>
          <w:sz w:val="20"/>
          <w:szCs w:val="20"/>
        </w:rPr>
        <w:t>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Conditii de aplicare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 xml:space="preserve">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–Nu este cazul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Metode de aplicare: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 xml:space="preserve">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–Nu este cazul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Curatarea echipamentului de lucru: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 xml:space="preserve">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–Nu este cazul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Produse compatibile: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 xml:space="preserve">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–Nu este cazul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357" w:h="2824" w:x="539" w:y="6352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Conditii de transport si depozitare: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11" w:h="649" w:x="719" w:y="569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Produsele alchidice (grund, vopsea, email sau lac) din seriile 431, 4010 si 5012 se vor dilua cu diluantul PRIMDIL D012 in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11" w:h="649" w:x="719" w:y="569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vederea obtinerii viscozitatii de aplicare. Proportia de diluare este specifica fiecarui tip de vopsea si nu trebuie sa depasesca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11" w:h="649" w:x="719" w:y="569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valorile impuse prin legislatie (HG735 / 2006), specificate in fisele tehnice ale fiecarui produs / vopsea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651" w:h="296" w:x="719" w:y="5303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Detalii pentru aplicare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880" w:h="763" w:x="7708" w:y="788" w:wrap="none" w:vAnchor="margin" w:hAnchor="margin" w:hRule="exact"/>
      </w:pPr>
      <w:r>
        <w:rPr>
          <w:rFonts w:cs="Algerian" w:ascii="Algerian" w:hAnsi="Algerian"/>
          <w:color w:val="000000"/>
          <w:sz w:val="32"/>
          <w:szCs w:val="32"/>
        </w:rPr>
        <w:t xml:space="preserve">          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880" w:h="763" w:x="7708" w:y="78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32"/>
          <w:szCs w:val="32"/>
        </w:rPr>
        <w:t>Fisa Tehnica Produs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824" w:h="296" w:x="719" w:y="4189" w:wrap="none" w:vAnchor="margin" w:hAnchor="margin" w:hRule="exact"/>
      </w:pPr>
      <w:r>
        <w:rPr>
          <w:rFonts w:cs="Arial Black" w:ascii="Arial Black" w:hAnsi="Arial Black"/>
          <w:color w:val="008000"/>
          <w:sz w:val="21"/>
          <w:szCs w:val="21"/>
        </w:rPr>
        <w:t>Utilizare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856" w:h="207" w:x="7847" w:y="3873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Maxim 820g/l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179" w:h="207" w:x="7847" w:y="3462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0.760 – 0.800 kg/l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14" w:h="207" w:x="7847" w:y="303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Min 21°C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870" w:h="207" w:x="7847" w:y="266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Lichid omogen transparent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63" w:h="207" w:x="6227" w:y="387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18"/>
          <w:szCs w:val="18"/>
        </w:rPr>
        <w:t>COV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73" w:h="649" w:x="6227" w:y="303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18"/>
          <w:szCs w:val="18"/>
        </w:rPr>
        <w:t>Punct de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73" w:h="649" w:x="6227" w:y="303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18"/>
          <w:szCs w:val="18"/>
        </w:rPr>
        <w:t>inflamabilitate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73" w:h="649" w:x="6227" w:y="303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18"/>
          <w:szCs w:val="18"/>
        </w:rPr>
        <w:t>Densitate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94" w:h="207" w:x="6564" w:y="2628" w:wrap="none" w:vAnchor="page" w:hAnchor="page" w:hRule="exact"/>
      </w:pPr>
      <w:r>
        <w:rPr>
          <w:rFonts w:cs="Times New Roman Bold" w:ascii="Times New Roman Bold" w:hAnsi="Times New Roman Bold"/>
          <w:color w:val="000000"/>
          <w:sz w:val="18"/>
          <w:szCs w:val="18"/>
        </w:rPr>
        <w:t>Aspect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682" w:h="353" w:x="6227" w:y="2213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Date tehnice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45" w:h="428" w:x="719" w:y="266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Amestec de solventi aromatici si alifatici utilizat pentru diluarea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45" w:h="428" w:x="719" w:y="2664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vopselelor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603" w:h="296" w:x="840" w:y="2184" w:wrap="none" w:vAnchor="page" w:hAnchor="page" w:hRule="exact"/>
      </w:pPr>
      <w:r>
        <w:rPr>
          <w:rFonts w:cs="Arial Black" w:ascii="Arial Black" w:hAnsi="Arial Black"/>
          <w:color w:val="000000"/>
          <w:sz w:val="21"/>
          <w:szCs w:val="21"/>
        </w:rPr>
        <w:t>Diluant D012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875" w:h="230" w:x="8716" w:y="1609" w:wrap="none" w:vAnchor="margin" w:hAnchor="margin" w:hRule="exact"/>
      </w:pPr>
      <w:r>
        <w:rPr>
          <w:rFonts w:cs="Arial Bold" w:ascii="Arial Bold" w:hAnsi="Arial Bold"/>
          <w:color w:val="000000"/>
          <w:sz w:val="20"/>
          <w:szCs w:val="20"/>
        </w:rPr>
        <w:t>Ediția 001 / Revizia 0</w:t>
      </w:r>
    </w:p>
    <w:p>
      <w:pPr>
        <w:pStyle w:val="Normal"/>
        <w:tabs>
          <w:tab w:val="clear" w:pos="720"/>
          <w:tab w:val="left" w:pos="1224" w:leader="none"/>
        </w:tabs>
        <w:bidi w:val="0"/>
        <w:spacing w:lineRule="auto" w:line="256" w:before="0" w:after="16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/>
        <w:drawing>
          <wp:inline distT="0" distB="0" distL="0" distR="0">
            <wp:extent cx="2094230" cy="58674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Italic">
    <w:charset w:val="01"/>
    <w:family w:val="roman"/>
    <w:pitch w:val="variable"/>
  </w:font>
  <w:font w:name="Times New Roman Bold Italic">
    <w:charset w:val="01"/>
    <w:family w:val="roman"/>
    <w:pitch w:val="variable"/>
  </w:font>
  <w:font w:name="Arial Black">
    <w:charset w:val="01"/>
    <w:family w:val="roman"/>
    <w:pitch w:val="variable"/>
  </w:font>
  <w:font w:name="Times New Roman Bold">
    <w:charset w:val="01"/>
    <w:family w:val="roman"/>
    <w:pitch w:val="variable"/>
  </w:font>
  <w:font w:name="Times New Roman CE">
    <w:charset w:val="01"/>
    <w:family w:val="roman"/>
    <w:pitch w:val="variable"/>
  </w:font>
  <w:font w:name="Courier New"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Arial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LibreOffice_project/3d775be2011f3886db32dfd395a6a6d1ca2630ff</Application>
  <Pages>99</Pages>
  <Words>495</Words>
  <Characters>3311</Characters>
  <CharactersWithSpaces>2822</CharactersWithSpaces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2019-03-25T09:10:00Z</dcterms:created>
  <dc:creator>VeryPDF</dc:creator>
  <dc:description/>
  <dc:language>en-US</dc:language>
  <cp:lastModifiedBy/>
  <dcterms:modified xsi:type="dcterms:W3CDTF">2019-07-08T14:18:00Z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  <property fmtid="{D5CDD505-2E9C-101B-9397-08002B2CF9AE}" pid="3" name="Operator">
    <vt:lpwstr>Windows User</vt:lpwstr>
  </property>
</Properties>
</file>